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41160" w14:textId="77777777" w:rsidR="00C2616F" w:rsidRDefault="00C2616F" w:rsidP="00D15627">
      <w:pPr>
        <w:jc w:val="center"/>
        <w:rPr>
          <w:b/>
          <w:sz w:val="28"/>
          <w:szCs w:val="28"/>
          <w:lang w:val="en-US"/>
        </w:rPr>
      </w:pPr>
    </w:p>
    <w:p w14:paraId="7313029E" w14:textId="35A9EF74" w:rsidR="00D15627" w:rsidRPr="00C2616F" w:rsidRDefault="008D2DB2" w:rsidP="00D15627">
      <w:pPr>
        <w:jc w:val="center"/>
        <w:rPr>
          <w:b/>
          <w:sz w:val="28"/>
          <w:szCs w:val="28"/>
          <w:lang w:val="en-US"/>
        </w:rPr>
      </w:pPr>
      <w:r w:rsidRPr="00C2616F">
        <w:rPr>
          <w:b/>
          <w:sz w:val="28"/>
          <w:szCs w:val="28"/>
          <w:lang w:val="en-US"/>
        </w:rPr>
        <w:t xml:space="preserve">Frequently </w:t>
      </w:r>
      <w:r w:rsidR="00D87016" w:rsidRPr="00C2616F">
        <w:rPr>
          <w:b/>
          <w:sz w:val="28"/>
          <w:szCs w:val="28"/>
          <w:lang w:val="en-US"/>
        </w:rPr>
        <w:t>a</w:t>
      </w:r>
      <w:r w:rsidRPr="00C2616F">
        <w:rPr>
          <w:b/>
          <w:sz w:val="28"/>
          <w:szCs w:val="28"/>
          <w:lang w:val="en-US"/>
        </w:rPr>
        <w:t xml:space="preserve">sked </w:t>
      </w:r>
      <w:r w:rsidR="00D87016" w:rsidRPr="00C2616F">
        <w:rPr>
          <w:b/>
          <w:sz w:val="28"/>
          <w:szCs w:val="28"/>
          <w:lang w:val="en-US"/>
        </w:rPr>
        <w:t>q</w:t>
      </w:r>
      <w:r w:rsidRPr="00C2616F">
        <w:rPr>
          <w:b/>
          <w:sz w:val="28"/>
          <w:szCs w:val="28"/>
          <w:lang w:val="en-US"/>
        </w:rPr>
        <w:t>uestions</w:t>
      </w:r>
    </w:p>
    <w:p w14:paraId="36931158" w14:textId="325095F9" w:rsidR="00D15627" w:rsidRPr="00424819" w:rsidRDefault="00D15627" w:rsidP="00D15627">
      <w:pPr>
        <w:rPr>
          <w:b/>
          <w:i/>
          <w:lang w:val="en-US"/>
        </w:rPr>
      </w:pPr>
      <w:r w:rsidRPr="00424819">
        <w:rPr>
          <w:b/>
          <w:i/>
          <w:lang w:val="en-US"/>
        </w:rPr>
        <w:t xml:space="preserve">If my </w:t>
      </w:r>
      <w:r w:rsidR="00A61E1B" w:rsidRPr="00424819">
        <w:rPr>
          <w:b/>
          <w:i/>
          <w:lang w:val="en-US"/>
        </w:rPr>
        <w:t>Skilling South Australia P</w:t>
      </w:r>
      <w:r w:rsidRPr="00424819">
        <w:rPr>
          <w:b/>
          <w:i/>
          <w:lang w:val="en-US"/>
        </w:rPr>
        <w:t>roject is approved, how is</w:t>
      </w:r>
      <w:r w:rsidR="00A61E1B" w:rsidRPr="00424819">
        <w:rPr>
          <w:b/>
          <w:i/>
          <w:lang w:val="en-US"/>
        </w:rPr>
        <w:t xml:space="preserve"> the</w:t>
      </w:r>
      <w:r w:rsidRPr="00424819">
        <w:rPr>
          <w:b/>
          <w:i/>
          <w:lang w:val="en-US"/>
        </w:rPr>
        <w:t xml:space="preserve"> funding provided?</w:t>
      </w:r>
      <w:r w:rsidR="00F43614" w:rsidRPr="00424819">
        <w:rPr>
          <w:b/>
          <w:i/>
          <w:lang w:val="en-US"/>
        </w:rPr>
        <w:t xml:space="preserve"> What does the payment model look like?</w:t>
      </w:r>
    </w:p>
    <w:p w14:paraId="2686D6F2" w14:textId="1C3CAB93" w:rsidR="00F43614" w:rsidRDefault="00C724ED" w:rsidP="00CF7D11">
      <w:pPr>
        <w:rPr>
          <w:lang w:val="en-US"/>
        </w:rPr>
      </w:pPr>
      <w:r>
        <w:rPr>
          <w:lang w:val="en-US"/>
        </w:rPr>
        <w:t xml:space="preserve">Funding </w:t>
      </w:r>
      <w:r w:rsidR="009354A5">
        <w:rPr>
          <w:lang w:val="en-US"/>
        </w:rPr>
        <w:t xml:space="preserve">to the Department </w:t>
      </w:r>
      <w:r>
        <w:rPr>
          <w:lang w:val="en-US"/>
        </w:rPr>
        <w:t>through the</w:t>
      </w:r>
      <w:r w:rsidR="00CF7D11">
        <w:rPr>
          <w:lang w:val="en-US"/>
        </w:rPr>
        <w:t xml:space="preserve"> </w:t>
      </w:r>
      <w:r>
        <w:rPr>
          <w:lang w:val="en-US"/>
        </w:rPr>
        <w:t xml:space="preserve">Skilling Australians Fund National Partnership Agreement </w:t>
      </w:r>
      <w:r w:rsidR="00CF7D11">
        <w:rPr>
          <w:lang w:val="en-US"/>
        </w:rPr>
        <w:t>is based on achiev</w:t>
      </w:r>
      <w:r w:rsidR="00D87016">
        <w:rPr>
          <w:lang w:val="en-US"/>
        </w:rPr>
        <w:t>ing</w:t>
      </w:r>
      <w:r w:rsidR="00CF7D11">
        <w:rPr>
          <w:lang w:val="en-US"/>
        </w:rPr>
        <w:t xml:space="preserve"> </w:t>
      </w:r>
      <w:r w:rsidR="00F43614">
        <w:rPr>
          <w:lang w:val="en-US"/>
        </w:rPr>
        <w:t xml:space="preserve">agreed </w:t>
      </w:r>
      <w:r w:rsidR="00CF7D11">
        <w:rPr>
          <w:lang w:val="en-US"/>
        </w:rPr>
        <w:t xml:space="preserve">milestones. </w:t>
      </w:r>
      <w:r w:rsidR="00D87016">
        <w:rPr>
          <w:lang w:val="en-US"/>
        </w:rPr>
        <w:t>Accordingly, t</w:t>
      </w:r>
      <w:r w:rsidR="006207BD">
        <w:rPr>
          <w:lang w:val="en-US"/>
        </w:rPr>
        <w:t>he</w:t>
      </w:r>
      <w:r w:rsidR="00CF7D11">
        <w:rPr>
          <w:lang w:val="en-US"/>
        </w:rPr>
        <w:t xml:space="preserve"> Department</w:t>
      </w:r>
      <w:r w:rsidR="00D87016">
        <w:rPr>
          <w:lang w:val="en-US"/>
        </w:rPr>
        <w:t>’s</w:t>
      </w:r>
      <w:r w:rsidR="00CF7D11">
        <w:rPr>
          <w:lang w:val="en-US"/>
        </w:rPr>
        <w:t xml:space="preserve"> </w:t>
      </w:r>
      <w:r>
        <w:rPr>
          <w:lang w:val="en-US"/>
        </w:rPr>
        <w:t>payment</w:t>
      </w:r>
      <w:r w:rsidR="00CF7D11">
        <w:rPr>
          <w:lang w:val="en-US"/>
        </w:rPr>
        <w:t xml:space="preserve"> model </w:t>
      </w:r>
      <w:r w:rsidR="00D87016">
        <w:rPr>
          <w:lang w:val="en-US"/>
        </w:rPr>
        <w:t>for Skilling South Australia Projects directly links payments to achieving apprenticeship</w:t>
      </w:r>
      <w:r w:rsidR="00D87016">
        <w:rPr>
          <w:rStyle w:val="FootnoteReference"/>
          <w:lang w:val="en-US"/>
        </w:rPr>
        <w:footnoteReference w:id="1"/>
      </w:r>
      <w:r w:rsidR="00D87016">
        <w:rPr>
          <w:lang w:val="en-US"/>
        </w:rPr>
        <w:t xml:space="preserve"> outcomes</w:t>
      </w:r>
      <w:r w:rsidR="00CF7D11">
        <w:rPr>
          <w:lang w:val="en-US"/>
        </w:rPr>
        <w:t xml:space="preserve">.   </w:t>
      </w:r>
    </w:p>
    <w:p w14:paraId="0B7A7BDD" w14:textId="1D2CDC88" w:rsidR="00CF7D11" w:rsidRDefault="00CF7D11" w:rsidP="00CF7D11">
      <w:pPr>
        <w:rPr>
          <w:lang w:val="en-US"/>
        </w:rPr>
      </w:pPr>
      <w:r>
        <w:rPr>
          <w:lang w:val="en-US"/>
        </w:rPr>
        <w:t xml:space="preserve">The tables below provide an overview of the payment model that applies to </w:t>
      </w:r>
      <w:r w:rsidR="00F43614">
        <w:rPr>
          <w:lang w:val="en-US"/>
        </w:rPr>
        <w:t>each of the</w:t>
      </w:r>
      <w:r>
        <w:rPr>
          <w:lang w:val="en-US"/>
        </w:rPr>
        <w:t xml:space="preserve"> project types</w:t>
      </w:r>
      <w:r w:rsidR="00954993">
        <w:rPr>
          <w:lang w:val="en-US"/>
        </w:rPr>
        <w:t xml:space="preserve"> – </w:t>
      </w:r>
      <w:r>
        <w:rPr>
          <w:lang w:val="en-US"/>
        </w:rPr>
        <w:t xml:space="preserve">pre-apprenticeship, apprenticeship and ‘like’ </w:t>
      </w:r>
      <w:r w:rsidR="00C724ED">
        <w:rPr>
          <w:lang w:val="en-US"/>
        </w:rPr>
        <w:t xml:space="preserve">(training </w:t>
      </w:r>
      <w:r w:rsidR="00FB701B">
        <w:rPr>
          <w:lang w:val="en-US"/>
        </w:rPr>
        <w:t>delivery that is like</w:t>
      </w:r>
      <w:r w:rsidR="00C724ED">
        <w:rPr>
          <w:lang w:val="en-US"/>
        </w:rPr>
        <w:t xml:space="preserve"> an apprenticeship) </w:t>
      </w:r>
      <w:r>
        <w:rPr>
          <w:lang w:val="en-US"/>
        </w:rPr>
        <w:t xml:space="preserve">projects. </w:t>
      </w:r>
      <w:r w:rsidR="00C65565">
        <w:rPr>
          <w:lang w:val="en-US"/>
        </w:rPr>
        <w:t xml:space="preserve">  </w:t>
      </w:r>
    </w:p>
    <w:p w14:paraId="24D80E4B" w14:textId="18053C27" w:rsidR="00462D44" w:rsidRDefault="00462D44" w:rsidP="0054046F">
      <w:pPr>
        <w:rPr>
          <w:lang w:val="en-US"/>
        </w:rPr>
      </w:pPr>
      <w:r w:rsidRPr="00462D44">
        <w:rPr>
          <w:lang w:val="en-US"/>
        </w:rPr>
        <w:t>The Department will consider</w:t>
      </w:r>
      <w:r w:rsidR="00954993">
        <w:rPr>
          <w:lang w:val="en-US"/>
        </w:rPr>
        <w:t xml:space="preserve"> the</w:t>
      </w:r>
      <w:r w:rsidRPr="00462D44">
        <w:rPr>
          <w:lang w:val="en-US"/>
        </w:rPr>
        <w:t xml:space="preserve"> value for money of each application, </w:t>
      </w:r>
      <w:r w:rsidR="0054046F">
        <w:rPr>
          <w:lang w:val="en-US"/>
        </w:rPr>
        <w:t>considering</w:t>
      </w:r>
      <w:r w:rsidRPr="00462D44">
        <w:rPr>
          <w:lang w:val="en-US"/>
        </w:rPr>
        <w:t xml:space="preserve"> issues such as project complexity, </w:t>
      </w:r>
      <w:r w:rsidR="00954993" w:rsidRPr="00462D44">
        <w:rPr>
          <w:lang w:val="en-US"/>
        </w:rPr>
        <w:t>participant</w:t>
      </w:r>
      <w:r w:rsidR="00954993">
        <w:rPr>
          <w:lang w:val="en-US"/>
        </w:rPr>
        <w:t xml:space="preserve"> </w:t>
      </w:r>
      <w:r w:rsidRPr="00462D44">
        <w:rPr>
          <w:lang w:val="en-US"/>
        </w:rPr>
        <w:t xml:space="preserve">needs </w:t>
      </w:r>
      <w:r>
        <w:rPr>
          <w:lang w:val="en-US"/>
        </w:rPr>
        <w:t>(particularly where specific cohorts are targeted)</w:t>
      </w:r>
      <w:r w:rsidRPr="00462D44">
        <w:rPr>
          <w:lang w:val="en-US"/>
        </w:rPr>
        <w:t xml:space="preserve">, and regional delivery. Cost comparisons with other available funding and with similar funded projects will also be considered.  </w:t>
      </w:r>
    </w:p>
    <w:p w14:paraId="6E041292" w14:textId="2DC745C5" w:rsidR="00CF7D11" w:rsidRDefault="0054046F" w:rsidP="00CF7D11">
      <w:pPr>
        <w:rPr>
          <w:lang w:val="en-US"/>
        </w:rPr>
      </w:pPr>
      <w:r>
        <w:rPr>
          <w:lang w:val="en-US"/>
        </w:rPr>
        <w:t>Once a project budget has been approved, the total project amount (excluding accredited training) is consolidated and paid through milestone payments. T</w:t>
      </w:r>
      <w:r w:rsidR="00CF7D11">
        <w:rPr>
          <w:lang w:val="en-US"/>
        </w:rPr>
        <w:t xml:space="preserve">he training subsidy </w:t>
      </w:r>
      <w:r>
        <w:rPr>
          <w:lang w:val="en-US"/>
        </w:rPr>
        <w:t>is not included in the payment milestones, as it i</w:t>
      </w:r>
      <w:r w:rsidR="00CF7D11">
        <w:rPr>
          <w:lang w:val="en-US"/>
        </w:rPr>
        <w:t>s paid directly to training providers based on</w:t>
      </w:r>
      <w:r w:rsidR="00F94AC8">
        <w:rPr>
          <w:lang w:val="en-US"/>
        </w:rPr>
        <w:t xml:space="preserve"> the Department’s</w:t>
      </w:r>
      <w:r w:rsidR="00CF7D11">
        <w:rPr>
          <w:lang w:val="en-US"/>
        </w:rPr>
        <w:t xml:space="preserve"> existing </w:t>
      </w:r>
      <w:r w:rsidR="00F94AC8">
        <w:rPr>
          <w:lang w:val="en-US"/>
        </w:rPr>
        <w:t xml:space="preserve">accredited training </w:t>
      </w:r>
      <w:r w:rsidR="00C65565">
        <w:rPr>
          <w:lang w:val="en-US"/>
        </w:rPr>
        <w:t>funding</w:t>
      </w:r>
      <w:r w:rsidR="00CF7D11">
        <w:rPr>
          <w:lang w:val="en-US"/>
        </w:rPr>
        <w:t xml:space="preserve"> arrangements.</w:t>
      </w:r>
    </w:p>
    <w:p w14:paraId="4B3C93BE" w14:textId="0326FE17" w:rsidR="00555A0F" w:rsidRPr="00555A0F" w:rsidRDefault="00555A0F" w:rsidP="00555A0F">
      <w:pPr>
        <w:ind w:left="66"/>
        <w:rPr>
          <w:iCs/>
        </w:rPr>
      </w:pPr>
      <w:r w:rsidRPr="00555A0F">
        <w:rPr>
          <w:iCs/>
        </w:rPr>
        <w:t>The percentage of funding</w:t>
      </w:r>
      <w:r>
        <w:rPr>
          <w:iCs/>
        </w:rPr>
        <w:t xml:space="preserve"> within milestone payments</w:t>
      </w:r>
      <w:r w:rsidRPr="00555A0F">
        <w:rPr>
          <w:iCs/>
        </w:rPr>
        <w:t xml:space="preserve"> varies depending on risk factors, such as </w:t>
      </w:r>
      <w:r w:rsidR="00FB701B">
        <w:rPr>
          <w:iCs/>
        </w:rPr>
        <w:t xml:space="preserve">past performance and </w:t>
      </w:r>
      <w:r w:rsidRPr="00555A0F">
        <w:rPr>
          <w:iCs/>
        </w:rPr>
        <w:t>the level of employer commitment.</w:t>
      </w:r>
    </w:p>
    <w:p w14:paraId="743F5FB8" w14:textId="4B1AD5A0" w:rsidR="00CF7D11" w:rsidRPr="00447FB3" w:rsidRDefault="00CF7D11" w:rsidP="00447FB3">
      <w:pPr>
        <w:rPr>
          <w:i/>
        </w:rPr>
      </w:pPr>
      <w:r w:rsidRPr="00447FB3">
        <w:rPr>
          <w:i/>
        </w:rPr>
        <w:t xml:space="preserve">Pre-apprenticeship </w:t>
      </w:r>
      <w:r w:rsidR="00954993">
        <w:rPr>
          <w:i/>
        </w:rPr>
        <w:t>p</w:t>
      </w:r>
      <w:r w:rsidRPr="00447FB3">
        <w:rPr>
          <w:i/>
        </w:rPr>
        <w:t>rojects payment model</w:t>
      </w:r>
      <w:r w:rsidR="00C65565">
        <w:rPr>
          <w:i/>
        </w:rPr>
        <w:t xml:space="preserve"> </w:t>
      </w:r>
    </w:p>
    <w:tbl>
      <w:tblPr>
        <w:tblW w:w="9498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528"/>
        <w:gridCol w:w="1985"/>
      </w:tblGrid>
      <w:tr w:rsidR="00CF7D11" w:rsidRPr="00CD303F" w14:paraId="4DCB739C" w14:textId="77777777" w:rsidTr="00424819">
        <w:trPr>
          <w:trHeight w:val="30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80C61" w14:textId="77777777" w:rsidR="00CF7D11" w:rsidRPr="00CD303F" w:rsidRDefault="00CF7D1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  <w:lang w:eastAsia="en-AU"/>
              </w:rPr>
            </w:pPr>
            <w:r w:rsidRPr="00CD303F">
              <w:rPr>
                <w:b/>
                <w:bCs/>
                <w:i/>
                <w:color w:val="000000"/>
                <w:sz w:val="20"/>
                <w:szCs w:val="20"/>
              </w:rPr>
              <w:t>Milestone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D0FCCDD" w14:textId="01D98CDA" w:rsidR="00CF7D11" w:rsidRPr="00CD303F" w:rsidRDefault="00CF7D11" w:rsidP="00CD303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303F">
              <w:rPr>
                <w:b/>
                <w:bCs/>
                <w:i/>
                <w:color w:val="000000"/>
                <w:sz w:val="20"/>
                <w:szCs w:val="20"/>
              </w:rPr>
              <w:t>When payment is typically made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31C25" w14:textId="4D1D97F0" w:rsidR="00CF7D11" w:rsidRPr="00CD303F" w:rsidRDefault="00CF7D11" w:rsidP="00CD303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303F">
              <w:rPr>
                <w:b/>
                <w:bCs/>
                <w:i/>
                <w:iCs/>
                <w:color w:val="000000"/>
                <w:sz w:val="20"/>
                <w:szCs w:val="20"/>
              </w:rPr>
              <w:t>Percentage of funding (%)</w:t>
            </w:r>
            <w:r w:rsidR="00A913B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(excluding accredited training subsidy)</w:t>
            </w:r>
          </w:p>
        </w:tc>
      </w:tr>
      <w:tr w:rsidR="00CF7D11" w:rsidRPr="00CD303F" w14:paraId="572CBC5B" w14:textId="77777777" w:rsidTr="00424819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EFC0B" w14:textId="77777777" w:rsidR="00CF7D11" w:rsidRPr="00CD303F" w:rsidRDefault="00CF7D11">
            <w:pPr>
              <w:jc w:val="center"/>
              <w:rPr>
                <w:color w:val="000000"/>
                <w:sz w:val="20"/>
                <w:szCs w:val="20"/>
              </w:rPr>
            </w:pPr>
            <w:r w:rsidRPr="00CD30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B7F9B3" w14:textId="77777777" w:rsidR="00CF7D11" w:rsidRPr="00CD303F" w:rsidRDefault="00CF7D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303F">
              <w:rPr>
                <w:i/>
                <w:iCs/>
                <w:color w:val="000000"/>
                <w:sz w:val="20"/>
                <w:szCs w:val="20"/>
              </w:rPr>
              <w:t>Execution of contract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341B5" w14:textId="5AD24508" w:rsidR="00CF7D11" w:rsidRPr="00CD303F" w:rsidRDefault="00447F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303F">
              <w:rPr>
                <w:i/>
                <w:iCs/>
                <w:color w:val="000000"/>
                <w:sz w:val="20"/>
                <w:szCs w:val="20"/>
              </w:rPr>
              <w:t>10-</w:t>
            </w:r>
            <w:r w:rsidR="00CF7D11" w:rsidRPr="00CD303F">
              <w:rPr>
                <w:i/>
                <w:iCs/>
                <w:color w:val="000000"/>
                <w:sz w:val="20"/>
                <w:szCs w:val="20"/>
              </w:rPr>
              <w:t>20%</w:t>
            </w:r>
          </w:p>
        </w:tc>
      </w:tr>
      <w:tr w:rsidR="00CF7D11" w:rsidRPr="00CD303F" w14:paraId="27FA6AC4" w14:textId="77777777" w:rsidTr="00424819">
        <w:trPr>
          <w:trHeight w:val="61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2D5B5" w14:textId="77777777" w:rsidR="00CF7D11" w:rsidRPr="00CD303F" w:rsidRDefault="00CF7D11">
            <w:pPr>
              <w:jc w:val="center"/>
              <w:rPr>
                <w:color w:val="000000"/>
                <w:sz w:val="20"/>
                <w:szCs w:val="20"/>
              </w:rPr>
            </w:pPr>
            <w:r w:rsidRPr="00CD30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0D7B1D" w14:textId="7DABB107" w:rsidR="00CF7D11" w:rsidRPr="00CD303F" w:rsidRDefault="00447F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303F">
              <w:rPr>
                <w:i/>
                <w:iCs/>
                <w:color w:val="000000"/>
                <w:sz w:val="20"/>
                <w:szCs w:val="20"/>
              </w:rPr>
              <w:t>Agreed number of e</w:t>
            </w:r>
            <w:r w:rsidR="00CF7D11" w:rsidRPr="00CD303F">
              <w:rPr>
                <w:i/>
                <w:iCs/>
                <w:color w:val="000000"/>
                <w:sz w:val="20"/>
                <w:szCs w:val="20"/>
              </w:rPr>
              <w:t>nrolment</w:t>
            </w:r>
            <w:r w:rsidRPr="00CD303F">
              <w:rPr>
                <w:i/>
                <w:iCs/>
                <w:color w:val="000000"/>
                <w:sz w:val="20"/>
                <w:szCs w:val="20"/>
              </w:rPr>
              <w:t>s</w:t>
            </w:r>
            <w:r w:rsidR="00CF7D11" w:rsidRPr="00CD303F">
              <w:rPr>
                <w:i/>
                <w:iCs/>
                <w:color w:val="000000"/>
                <w:sz w:val="20"/>
                <w:szCs w:val="20"/>
              </w:rPr>
              <w:t xml:space="preserve"> into the pre-apprenticeship accredited training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8D2C4" w14:textId="77777777" w:rsidR="00CF7D11" w:rsidRPr="00CD303F" w:rsidRDefault="00CF7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303F">
              <w:rPr>
                <w:i/>
                <w:iCs/>
                <w:color w:val="000000"/>
                <w:sz w:val="20"/>
                <w:szCs w:val="20"/>
              </w:rPr>
              <w:t>20%</w:t>
            </w:r>
          </w:p>
        </w:tc>
      </w:tr>
      <w:tr w:rsidR="00CF7D11" w:rsidRPr="00CD303F" w14:paraId="19E22420" w14:textId="77777777" w:rsidTr="00424819">
        <w:trPr>
          <w:trHeight w:val="20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EB892" w14:textId="69B2DA04" w:rsidR="00CF7D11" w:rsidRPr="00CD303F" w:rsidRDefault="00CF7D11">
            <w:pPr>
              <w:jc w:val="center"/>
              <w:rPr>
                <w:color w:val="000000"/>
                <w:sz w:val="20"/>
                <w:szCs w:val="20"/>
              </w:rPr>
            </w:pPr>
            <w:r w:rsidRPr="00CD303F">
              <w:rPr>
                <w:color w:val="000000"/>
                <w:sz w:val="20"/>
                <w:szCs w:val="20"/>
              </w:rPr>
              <w:t>T</w:t>
            </w:r>
            <w:r w:rsidR="00447FB3" w:rsidRPr="00CD303F">
              <w:rPr>
                <w:color w:val="000000"/>
                <w:sz w:val="20"/>
                <w:szCs w:val="20"/>
              </w:rPr>
              <w:t xml:space="preserve">raining </w:t>
            </w:r>
            <w:r w:rsidRPr="00CD303F">
              <w:rPr>
                <w:color w:val="000000"/>
                <w:sz w:val="20"/>
                <w:szCs w:val="20"/>
              </w:rPr>
              <w:t>C</w:t>
            </w:r>
            <w:r w:rsidR="00447FB3" w:rsidRPr="00CD303F">
              <w:rPr>
                <w:color w:val="000000"/>
                <w:sz w:val="20"/>
                <w:szCs w:val="20"/>
              </w:rPr>
              <w:t>ontract</w:t>
            </w:r>
            <w:r w:rsidRPr="00CD303F">
              <w:rPr>
                <w:color w:val="000000"/>
                <w:sz w:val="20"/>
                <w:szCs w:val="20"/>
              </w:rPr>
              <w:t xml:space="preserve"> Outcome</w:t>
            </w:r>
            <w:r w:rsidR="00C652B7">
              <w:rPr>
                <w:rStyle w:val="FootnoteReference"/>
                <w:color w:val="000000"/>
                <w:sz w:val="20"/>
                <w:szCs w:val="20"/>
              </w:rPr>
              <w:footnoteReference w:id="2"/>
            </w:r>
            <w:r w:rsidR="00447FB3" w:rsidRPr="00CD303F">
              <w:rPr>
                <w:color w:val="000000"/>
                <w:sz w:val="20"/>
                <w:szCs w:val="20"/>
              </w:rPr>
              <w:t xml:space="preserve"> </w:t>
            </w:r>
            <w:r w:rsidR="00A12A43" w:rsidRPr="00CD303F">
              <w:rPr>
                <w:color w:val="000000"/>
                <w:sz w:val="20"/>
                <w:szCs w:val="20"/>
              </w:rPr>
              <w:t>p</w:t>
            </w:r>
            <w:r w:rsidR="00447FB3" w:rsidRPr="00CD303F">
              <w:rPr>
                <w:color w:val="000000"/>
                <w:sz w:val="20"/>
                <w:szCs w:val="20"/>
              </w:rPr>
              <w:t>ayments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75B8AF0" w14:textId="0939C1BF" w:rsidR="00CF7D11" w:rsidRPr="00CD303F" w:rsidRDefault="00CF7D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303F">
              <w:rPr>
                <w:i/>
                <w:iCs/>
                <w:color w:val="000000"/>
                <w:sz w:val="20"/>
                <w:szCs w:val="20"/>
              </w:rPr>
              <w:t xml:space="preserve">Training contract has passed the probationary period. </w:t>
            </w:r>
            <w:r w:rsidR="00447FB3" w:rsidRPr="00CD303F">
              <w:rPr>
                <w:i/>
                <w:iCs/>
                <w:color w:val="000000"/>
                <w:sz w:val="20"/>
                <w:szCs w:val="20"/>
              </w:rPr>
              <w:t xml:space="preserve">Claims for these payments </w:t>
            </w:r>
            <w:r w:rsidR="00424819">
              <w:rPr>
                <w:i/>
                <w:iCs/>
                <w:color w:val="000000"/>
                <w:sz w:val="20"/>
                <w:szCs w:val="20"/>
              </w:rPr>
              <w:t>should</w:t>
            </w:r>
            <w:r w:rsidR="00447FB3" w:rsidRPr="00CD303F">
              <w:rPr>
                <w:i/>
                <w:iCs/>
                <w:color w:val="000000"/>
                <w:sz w:val="20"/>
                <w:szCs w:val="20"/>
              </w:rPr>
              <w:t xml:space="preserve"> be </w:t>
            </w:r>
            <w:r w:rsidR="00D3120B">
              <w:rPr>
                <w:i/>
                <w:iCs/>
                <w:color w:val="000000"/>
                <w:sz w:val="20"/>
                <w:szCs w:val="20"/>
              </w:rPr>
              <w:t>submitted</w:t>
            </w:r>
            <w:r w:rsidR="00447FB3" w:rsidRPr="00CD303F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3120B" w:rsidRPr="00CD303F">
              <w:rPr>
                <w:i/>
                <w:iCs/>
                <w:color w:val="000000"/>
                <w:sz w:val="20"/>
                <w:szCs w:val="20"/>
              </w:rPr>
              <w:t>monthly</w:t>
            </w:r>
            <w:r w:rsidR="00447FB3" w:rsidRPr="00CD303F">
              <w:rPr>
                <w:i/>
                <w:iCs/>
                <w:color w:val="000000"/>
                <w:sz w:val="20"/>
                <w:szCs w:val="20"/>
              </w:rPr>
              <w:t>,</w:t>
            </w:r>
            <w:r w:rsidRPr="00CD303F">
              <w:rPr>
                <w:i/>
                <w:iCs/>
                <w:color w:val="000000"/>
                <w:sz w:val="20"/>
                <w:szCs w:val="20"/>
              </w:rPr>
              <w:t xml:space="preserve"> as outcomes are achieved.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DE11F" w14:textId="605293E3" w:rsidR="00CF7D11" w:rsidRPr="00CD303F" w:rsidRDefault="00CF7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303F">
              <w:rPr>
                <w:i/>
                <w:iCs/>
                <w:color w:val="000000"/>
                <w:sz w:val="20"/>
                <w:szCs w:val="20"/>
              </w:rPr>
              <w:t>50</w:t>
            </w:r>
            <w:r w:rsidR="00447FB3" w:rsidRPr="00CD303F">
              <w:rPr>
                <w:i/>
                <w:iCs/>
                <w:color w:val="000000"/>
                <w:sz w:val="20"/>
                <w:szCs w:val="20"/>
              </w:rPr>
              <w:t>-60</w:t>
            </w:r>
            <w:r w:rsidRPr="00CD303F">
              <w:rPr>
                <w:i/>
                <w:iCs/>
                <w:color w:val="000000"/>
                <w:sz w:val="20"/>
                <w:szCs w:val="20"/>
              </w:rPr>
              <w:t>%</w:t>
            </w:r>
            <w:r w:rsidR="00447FB3" w:rsidRPr="00CD303F">
              <w:rPr>
                <w:i/>
                <w:iCs/>
                <w:color w:val="000000"/>
                <w:sz w:val="20"/>
                <w:szCs w:val="20"/>
              </w:rPr>
              <w:t>*</w:t>
            </w:r>
          </w:p>
        </w:tc>
      </w:tr>
      <w:tr w:rsidR="00CF7D11" w:rsidRPr="00CD303F" w14:paraId="7F689FD8" w14:textId="77777777" w:rsidTr="00424819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0AC81" w14:textId="77777777" w:rsidR="00CF7D11" w:rsidRPr="00CD303F" w:rsidRDefault="00CF7D11">
            <w:pPr>
              <w:jc w:val="center"/>
              <w:rPr>
                <w:color w:val="000000"/>
                <w:sz w:val="20"/>
                <w:szCs w:val="20"/>
              </w:rPr>
            </w:pPr>
            <w:r w:rsidRPr="00CD30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369247" w14:textId="5581B38C" w:rsidR="00CF7D11" w:rsidRPr="00CD303F" w:rsidRDefault="00CF7D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303F">
              <w:rPr>
                <w:i/>
                <w:iCs/>
                <w:color w:val="000000"/>
                <w:sz w:val="20"/>
                <w:szCs w:val="20"/>
              </w:rPr>
              <w:t xml:space="preserve">Final report </w:t>
            </w:r>
            <w:r w:rsidR="00954993">
              <w:rPr>
                <w:i/>
                <w:iCs/>
                <w:color w:val="000000"/>
                <w:sz w:val="20"/>
                <w:szCs w:val="20"/>
              </w:rPr>
              <w:t>and</w:t>
            </w:r>
            <w:r w:rsidRPr="00CD303F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54993">
              <w:rPr>
                <w:i/>
                <w:iCs/>
                <w:color w:val="000000"/>
                <w:sz w:val="20"/>
                <w:szCs w:val="20"/>
              </w:rPr>
              <w:t>f</w:t>
            </w:r>
            <w:r w:rsidRPr="00CD303F">
              <w:rPr>
                <w:i/>
                <w:iCs/>
                <w:color w:val="000000"/>
                <w:sz w:val="20"/>
                <w:szCs w:val="20"/>
              </w:rPr>
              <w:t xml:space="preserve">inancial </w:t>
            </w:r>
            <w:r w:rsidR="00954993">
              <w:rPr>
                <w:i/>
                <w:iCs/>
                <w:color w:val="000000"/>
                <w:sz w:val="20"/>
                <w:szCs w:val="20"/>
              </w:rPr>
              <w:t>a</w:t>
            </w:r>
            <w:r w:rsidRPr="00CD303F">
              <w:rPr>
                <w:i/>
                <w:iCs/>
                <w:color w:val="000000"/>
                <w:sz w:val="20"/>
                <w:szCs w:val="20"/>
              </w:rPr>
              <w:t>cquittal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67739" w14:textId="77777777" w:rsidR="00CF7D11" w:rsidRPr="00CD303F" w:rsidRDefault="00CF7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303F">
              <w:rPr>
                <w:i/>
                <w:iCs/>
                <w:color w:val="000000"/>
                <w:sz w:val="20"/>
                <w:szCs w:val="20"/>
              </w:rPr>
              <w:t>10%</w:t>
            </w:r>
          </w:p>
        </w:tc>
      </w:tr>
      <w:tr w:rsidR="00CF7D11" w:rsidRPr="00CD303F" w14:paraId="0B82F520" w14:textId="77777777" w:rsidTr="00424819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90F03" w14:textId="77777777" w:rsidR="00CF7D11" w:rsidRPr="00CD303F" w:rsidRDefault="00CF7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303F">
              <w:rPr>
                <w:b/>
                <w:bCs/>
                <w:color w:val="000000"/>
                <w:sz w:val="20"/>
                <w:szCs w:val="20"/>
              </w:rPr>
              <w:t> TOTAL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51D583" w14:textId="77777777" w:rsidR="00CF7D11" w:rsidRPr="00CD303F" w:rsidRDefault="00CF7D1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8B9F7" w14:textId="77777777" w:rsidR="00CF7D11" w:rsidRPr="00CD303F" w:rsidRDefault="00CF7D1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30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100%</w:t>
            </w:r>
          </w:p>
        </w:tc>
      </w:tr>
    </w:tbl>
    <w:p w14:paraId="1774B985" w14:textId="77777777" w:rsidR="00A311BE" w:rsidRDefault="00A311BE" w:rsidP="00CF7D11">
      <w:pPr>
        <w:rPr>
          <w:i/>
          <w:iCs/>
        </w:rPr>
      </w:pPr>
    </w:p>
    <w:p w14:paraId="07C84566" w14:textId="2A18E0CC" w:rsidR="00CD303F" w:rsidRDefault="00CD303F" w:rsidP="00CF7D11">
      <w:pPr>
        <w:rPr>
          <w:i/>
          <w:iCs/>
        </w:rPr>
      </w:pPr>
      <w:r>
        <w:rPr>
          <w:i/>
          <w:iCs/>
        </w:rPr>
        <w:t>Notes</w:t>
      </w:r>
    </w:p>
    <w:p w14:paraId="15033FCC" w14:textId="5298E97D" w:rsidR="00A74E7C" w:rsidRPr="00A913B7" w:rsidRDefault="00A74E7C" w:rsidP="00CD303F">
      <w:pPr>
        <w:pStyle w:val="ListParagraph"/>
        <w:numPr>
          <w:ilvl w:val="0"/>
          <w:numId w:val="7"/>
        </w:numPr>
        <w:ind w:left="426"/>
        <w:rPr>
          <w:iCs/>
        </w:rPr>
      </w:pPr>
      <w:r>
        <w:rPr>
          <w:iCs/>
        </w:rPr>
        <w:t xml:space="preserve">Milestone 2 payments </w:t>
      </w:r>
      <w:r w:rsidR="00954993">
        <w:rPr>
          <w:iCs/>
        </w:rPr>
        <w:t xml:space="preserve">are claimed by the project proponent and </w:t>
      </w:r>
      <w:r w:rsidR="00A63DF2">
        <w:rPr>
          <w:iCs/>
        </w:rPr>
        <w:t>occur</w:t>
      </w:r>
      <w:r>
        <w:rPr>
          <w:iCs/>
        </w:rPr>
        <w:t xml:space="preserve"> separate</w:t>
      </w:r>
      <w:r w:rsidR="00A63DF2">
        <w:rPr>
          <w:iCs/>
        </w:rPr>
        <w:t>ly</w:t>
      </w:r>
      <w:r>
        <w:rPr>
          <w:iCs/>
        </w:rPr>
        <w:t xml:space="preserve"> to the training subsidy payme</w:t>
      </w:r>
      <w:r w:rsidR="00A63DF2">
        <w:rPr>
          <w:iCs/>
        </w:rPr>
        <w:t xml:space="preserve">nt, which is </w:t>
      </w:r>
      <w:r w:rsidR="00A311BE">
        <w:rPr>
          <w:iCs/>
        </w:rPr>
        <w:t>claimed</w:t>
      </w:r>
      <w:r w:rsidR="00A63DF2">
        <w:rPr>
          <w:iCs/>
        </w:rPr>
        <w:t xml:space="preserve"> by the training provider. </w:t>
      </w:r>
    </w:p>
    <w:p w14:paraId="31B0D64C" w14:textId="42E3DC97" w:rsidR="006207BD" w:rsidRDefault="00A913B7" w:rsidP="00613758">
      <w:pPr>
        <w:pStyle w:val="ListParagraph"/>
        <w:numPr>
          <w:ilvl w:val="0"/>
          <w:numId w:val="7"/>
        </w:numPr>
        <w:ind w:left="426"/>
        <w:rPr>
          <w:iCs/>
        </w:rPr>
      </w:pPr>
      <w:r>
        <w:rPr>
          <w:iCs/>
        </w:rPr>
        <w:t xml:space="preserve">The number of </w:t>
      </w:r>
      <w:r w:rsidR="00954993">
        <w:rPr>
          <w:iCs/>
        </w:rPr>
        <w:t>t</w:t>
      </w:r>
      <w:r>
        <w:rPr>
          <w:iCs/>
        </w:rPr>
        <w:t xml:space="preserve">raining </w:t>
      </w:r>
      <w:r w:rsidR="00954993">
        <w:rPr>
          <w:iCs/>
        </w:rPr>
        <w:t>c</w:t>
      </w:r>
      <w:r>
        <w:rPr>
          <w:iCs/>
        </w:rPr>
        <w:t xml:space="preserve">ontract </w:t>
      </w:r>
      <w:r w:rsidR="00954993">
        <w:rPr>
          <w:iCs/>
        </w:rPr>
        <w:t>o</w:t>
      </w:r>
      <w:r>
        <w:rPr>
          <w:iCs/>
        </w:rPr>
        <w:t>utcomes to be achieved for each</w:t>
      </w:r>
      <w:r w:rsidR="00A63DF2">
        <w:rPr>
          <w:iCs/>
        </w:rPr>
        <w:t xml:space="preserve"> pre-apprenticeship</w:t>
      </w:r>
      <w:r>
        <w:rPr>
          <w:iCs/>
        </w:rPr>
        <w:t xml:space="preserve"> project equates to</w:t>
      </w:r>
      <w:r w:rsidR="00C070A8">
        <w:rPr>
          <w:iCs/>
        </w:rPr>
        <w:t xml:space="preserve"> a minimum of</w:t>
      </w:r>
      <w:r w:rsidR="00A63DF2">
        <w:rPr>
          <w:iCs/>
        </w:rPr>
        <w:t xml:space="preserve"> 70</w:t>
      </w:r>
      <w:r w:rsidR="00954993">
        <w:rPr>
          <w:iCs/>
        </w:rPr>
        <w:t xml:space="preserve"> per cent</w:t>
      </w:r>
      <w:r>
        <w:rPr>
          <w:iCs/>
        </w:rPr>
        <w:t xml:space="preserve"> of the a</w:t>
      </w:r>
      <w:r w:rsidR="00A12A43" w:rsidRPr="00A913B7">
        <w:rPr>
          <w:iCs/>
        </w:rPr>
        <w:t xml:space="preserve">greed number of </w:t>
      </w:r>
      <w:r w:rsidR="00CF7D11" w:rsidRPr="00A913B7">
        <w:rPr>
          <w:iCs/>
        </w:rPr>
        <w:t>participants</w:t>
      </w:r>
      <w:r w:rsidR="00A12A43" w:rsidRPr="00A913B7">
        <w:rPr>
          <w:iCs/>
        </w:rPr>
        <w:t xml:space="preserve"> in </w:t>
      </w:r>
      <w:r>
        <w:rPr>
          <w:iCs/>
        </w:rPr>
        <w:t>the</w:t>
      </w:r>
      <w:r w:rsidR="00A12A43" w:rsidRPr="00A913B7">
        <w:rPr>
          <w:iCs/>
        </w:rPr>
        <w:t xml:space="preserve"> project.</w:t>
      </w:r>
    </w:p>
    <w:p w14:paraId="7C629283" w14:textId="0A2AC927" w:rsidR="00C070A8" w:rsidRPr="00A913B7" w:rsidRDefault="00C070A8" w:rsidP="00613758">
      <w:pPr>
        <w:pStyle w:val="ListParagraph"/>
        <w:numPr>
          <w:ilvl w:val="0"/>
          <w:numId w:val="7"/>
        </w:numPr>
        <w:ind w:left="426"/>
        <w:rPr>
          <w:iCs/>
        </w:rPr>
      </w:pPr>
      <w:r>
        <w:rPr>
          <w:iCs/>
        </w:rPr>
        <w:t xml:space="preserve">In the </w:t>
      </w:r>
      <w:r w:rsidR="00A311BE">
        <w:rPr>
          <w:iCs/>
        </w:rPr>
        <w:t>funding agreement</w:t>
      </w:r>
      <w:r>
        <w:rPr>
          <w:iCs/>
        </w:rPr>
        <w:t xml:space="preserve">, the Training Contract Outcome payment will </w:t>
      </w:r>
      <w:r w:rsidR="00A311BE">
        <w:rPr>
          <w:iCs/>
        </w:rPr>
        <w:t xml:space="preserve">usually be separately identified </w:t>
      </w:r>
      <w:r>
        <w:rPr>
          <w:iCs/>
        </w:rPr>
        <w:t>in a section entitled ‘Other Services’.</w:t>
      </w:r>
      <w:r w:rsidR="00A63DF2">
        <w:rPr>
          <w:iCs/>
        </w:rPr>
        <w:t xml:space="preserve">  These payments can be claimed as soon as </w:t>
      </w:r>
      <w:r w:rsidR="007972BD">
        <w:rPr>
          <w:iCs/>
        </w:rPr>
        <w:t>the training contract has passed the probationary period</w:t>
      </w:r>
      <w:r w:rsidR="00A63DF2">
        <w:rPr>
          <w:iCs/>
        </w:rPr>
        <w:t>.</w:t>
      </w:r>
    </w:p>
    <w:p w14:paraId="0F495C7B" w14:textId="233D7C08" w:rsidR="00CF7D11" w:rsidRPr="00A12A43" w:rsidRDefault="00CF7D11" w:rsidP="00CF7D11">
      <w:pPr>
        <w:rPr>
          <w:i/>
        </w:rPr>
      </w:pPr>
      <w:r w:rsidRPr="00A12A43">
        <w:rPr>
          <w:i/>
        </w:rPr>
        <w:t>Apprenticeship</w:t>
      </w:r>
      <w:r w:rsidR="00A12A43" w:rsidRPr="00A12A43">
        <w:rPr>
          <w:i/>
        </w:rPr>
        <w:t xml:space="preserve"> </w:t>
      </w:r>
      <w:r w:rsidR="00954993">
        <w:rPr>
          <w:i/>
        </w:rPr>
        <w:t>p</w:t>
      </w:r>
      <w:r w:rsidR="00A12A43" w:rsidRPr="00A12A43">
        <w:rPr>
          <w:i/>
        </w:rPr>
        <w:t>rojects</w:t>
      </w:r>
      <w:r w:rsidR="00A12A43">
        <w:rPr>
          <w:i/>
        </w:rPr>
        <w:t xml:space="preserve"> </w:t>
      </w:r>
      <w:r w:rsidR="00A12A43" w:rsidRPr="00A12A43">
        <w:rPr>
          <w:i/>
        </w:rPr>
        <w:t>payment model</w:t>
      </w:r>
    </w:p>
    <w:tbl>
      <w:tblPr>
        <w:tblW w:w="8933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5244"/>
        <w:gridCol w:w="1702"/>
      </w:tblGrid>
      <w:tr w:rsidR="00CF7D11" w14:paraId="2E5B4A9B" w14:textId="77777777" w:rsidTr="00424819">
        <w:trPr>
          <w:trHeight w:val="300"/>
        </w:trPr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495E0" w14:textId="77777777" w:rsidR="00CF7D11" w:rsidRDefault="00CF7D11">
            <w:pPr>
              <w:jc w:val="center"/>
              <w:rPr>
                <w:b/>
                <w:bCs/>
                <w:color w:val="000000"/>
                <w:lang w:eastAsia="en-AU"/>
              </w:rPr>
            </w:pPr>
            <w:r>
              <w:rPr>
                <w:b/>
                <w:bCs/>
                <w:color w:val="000000"/>
              </w:rPr>
              <w:t>Milestone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14:paraId="0DDEDEB6" w14:textId="77777777" w:rsidR="00954993" w:rsidRDefault="009549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5396A7F0" w14:textId="7221985B" w:rsidR="00CF7D11" w:rsidRDefault="00CF7D1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When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57BCD" w14:textId="582FBDB3" w:rsidR="00CF7D11" w:rsidRDefault="00CF7D1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Percentage of funding (%)</w:t>
            </w:r>
            <w:r w:rsidR="00C652B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(excluding accredited training subsidy)</w:t>
            </w:r>
          </w:p>
        </w:tc>
      </w:tr>
      <w:tr w:rsidR="00CF7D11" w14:paraId="380702A3" w14:textId="77777777" w:rsidTr="00424819">
        <w:trPr>
          <w:trHeight w:val="300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9DBB2" w14:textId="77777777" w:rsidR="00CF7D11" w:rsidRDefault="00CF7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F7E2F21" w14:textId="77777777" w:rsidR="00CF7D11" w:rsidRDefault="00CF7D1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Execution of contract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2DB62" w14:textId="551AA65F" w:rsidR="00CF7D11" w:rsidRDefault="006207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10-</w:t>
            </w:r>
            <w:r w:rsidR="00CF7D11">
              <w:rPr>
                <w:i/>
                <w:iCs/>
                <w:color w:val="000000"/>
                <w:sz w:val="20"/>
                <w:szCs w:val="20"/>
              </w:rPr>
              <w:t>20%</w:t>
            </w:r>
          </w:p>
        </w:tc>
      </w:tr>
      <w:tr w:rsidR="00CF7D11" w14:paraId="0EC5A952" w14:textId="77777777" w:rsidTr="00424819">
        <w:trPr>
          <w:trHeight w:val="204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CFE5A" w14:textId="50B0717B" w:rsidR="00CF7D11" w:rsidRDefault="00C652B7">
            <w:pPr>
              <w:jc w:val="center"/>
              <w:rPr>
                <w:color w:val="000000"/>
              </w:rPr>
            </w:pPr>
            <w:r w:rsidRPr="00CD303F">
              <w:rPr>
                <w:color w:val="000000"/>
                <w:sz w:val="20"/>
                <w:szCs w:val="20"/>
              </w:rPr>
              <w:t>Training Contract Outcome payments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B6CC6A" w14:textId="20D357E6" w:rsidR="00CF7D11" w:rsidRDefault="00CF7D1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Training contract has passed the probationary period. </w:t>
            </w:r>
            <w:r w:rsidR="00D3120B">
              <w:rPr>
                <w:i/>
                <w:iCs/>
                <w:color w:val="000000"/>
                <w:sz w:val="20"/>
                <w:szCs w:val="20"/>
              </w:rPr>
              <w:t xml:space="preserve">Claims for payments </w:t>
            </w:r>
            <w:r w:rsidR="00C652B7">
              <w:rPr>
                <w:i/>
                <w:iCs/>
                <w:color w:val="000000"/>
                <w:sz w:val="20"/>
                <w:szCs w:val="20"/>
              </w:rPr>
              <w:t>should</w:t>
            </w:r>
            <w:r w:rsidR="00D3120B">
              <w:rPr>
                <w:i/>
                <w:iCs/>
                <w:color w:val="000000"/>
                <w:sz w:val="20"/>
                <w:szCs w:val="20"/>
              </w:rPr>
              <w:t xml:space="preserve"> be submitted monthly, </w:t>
            </w:r>
            <w:r>
              <w:rPr>
                <w:i/>
                <w:iCs/>
                <w:color w:val="000000"/>
                <w:sz w:val="20"/>
                <w:szCs w:val="20"/>
              </w:rPr>
              <w:t>as outcomes are achieved.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CD2F4" w14:textId="6B1CDAA9" w:rsidR="00CF7D11" w:rsidRDefault="00CF7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</w:t>
            </w:r>
            <w:r w:rsidR="006207BD">
              <w:rPr>
                <w:i/>
                <w:iCs/>
                <w:color w:val="000000"/>
                <w:sz w:val="20"/>
                <w:szCs w:val="20"/>
              </w:rPr>
              <w:t xml:space="preserve"> - 80</w:t>
            </w:r>
            <w:r>
              <w:rPr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CF7D11" w14:paraId="349CCA23" w14:textId="77777777" w:rsidTr="00424819">
        <w:trPr>
          <w:trHeight w:val="300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D57A0" w14:textId="77777777" w:rsidR="00CF7D11" w:rsidRDefault="00CF7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176EBD" w14:textId="0C82287C" w:rsidR="00CF7D11" w:rsidRDefault="00CF7D1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Final report </w:t>
            </w:r>
            <w:r w:rsidR="00954993">
              <w:rPr>
                <w:i/>
                <w:iCs/>
                <w:color w:val="000000"/>
                <w:sz w:val="20"/>
                <w:szCs w:val="20"/>
              </w:rPr>
              <w:t>and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54993">
              <w:rPr>
                <w:i/>
                <w:iCs/>
                <w:color w:val="000000"/>
                <w:sz w:val="20"/>
                <w:szCs w:val="20"/>
              </w:rPr>
              <w:t>f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inancial </w:t>
            </w:r>
            <w:r w:rsidR="00954993">
              <w:rPr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i/>
                <w:iCs/>
                <w:color w:val="000000"/>
                <w:sz w:val="20"/>
                <w:szCs w:val="20"/>
              </w:rPr>
              <w:t>cquittal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02BCB" w14:textId="77777777" w:rsidR="00CF7D11" w:rsidRDefault="00CF7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10%</w:t>
            </w:r>
          </w:p>
        </w:tc>
      </w:tr>
      <w:tr w:rsidR="00CF7D11" w14:paraId="7E5A4DE6" w14:textId="77777777" w:rsidTr="00424819">
        <w:trPr>
          <w:trHeight w:val="300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36DD0" w14:textId="77777777" w:rsidR="00CF7D11" w:rsidRDefault="00CF7D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TOTAL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98C13E" w14:textId="77777777" w:rsidR="00CF7D11" w:rsidRDefault="00CF7D1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A4AF4" w14:textId="77777777" w:rsidR="00CF7D11" w:rsidRDefault="00CF7D1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100%</w:t>
            </w:r>
          </w:p>
        </w:tc>
      </w:tr>
    </w:tbl>
    <w:p w14:paraId="696B79E5" w14:textId="77777777" w:rsidR="00CF7D11" w:rsidRDefault="00CF7D11" w:rsidP="00CF7D11">
      <w:pPr>
        <w:rPr>
          <w:rFonts w:ascii="Calibri" w:hAnsi="Calibri" w:cs="Calibri"/>
        </w:rPr>
      </w:pPr>
    </w:p>
    <w:p w14:paraId="76DECA6D" w14:textId="77777777" w:rsidR="00613758" w:rsidRDefault="00613758" w:rsidP="00F94AC8">
      <w:pPr>
        <w:rPr>
          <w:i/>
          <w:iCs/>
        </w:rPr>
      </w:pPr>
      <w:r>
        <w:rPr>
          <w:i/>
          <w:iCs/>
        </w:rPr>
        <w:t xml:space="preserve">Notes </w:t>
      </w:r>
    </w:p>
    <w:p w14:paraId="265C216C" w14:textId="1D5CF548" w:rsidR="00A12A43" w:rsidRDefault="00A12A43" w:rsidP="00613758">
      <w:pPr>
        <w:pStyle w:val="ListParagraph"/>
        <w:numPr>
          <w:ilvl w:val="0"/>
          <w:numId w:val="8"/>
        </w:numPr>
        <w:rPr>
          <w:iCs/>
        </w:rPr>
      </w:pPr>
      <w:r w:rsidRPr="00613758">
        <w:rPr>
          <w:iCs/>
        </w:rPr>
        <w:t>‘</w:t>
      </w:r>
      <w:r w:rsidR="00613758">
        <w:rPr>
          <w:iCs/>
        </w:rPr>
        <w:t>L</w:t>
      </w:r>
      <w:r w:rsidRPr="00613758">
        <w:rPr>
          <w:iCs/>
        </w:rPr>
        <w:t>ike’ activity</w:t>
      </w:r>
      <w:r w:rsidR="00613758">
        <w:rPr>
          <w:iCs/>
        </w:rPr>
        <w:t xml:space="preserve">, that is, training with similar characteristics as an apprenticeship, uses the </w:t>
      </w:r>
      <w:r w:rsidR="00954993">
        <w:rPr>
          <w:iCs/>
        </w:rPr>
        <w:t>same payment model as a</w:t>
      </w:r>
      <w:r w:rsidR="00613758">
        <w:rPr>
          <w:iCs/>
        </w:rPr>
        <w:t xml:space="preserve">pprenticeship </w:t>
      </w:r>
      <w:r w:rsidR="00954993">
        <w:rPr>
          <w:iCs/>
        </w:rPr>
        <w:t>p</w:t>
      </w:r>
      <w:r w:rsidR="00613758">
        <w:rPr>
          <w:iCs/>
        </w:rPr>
        <w:t>rojects. The outcome</w:t>
      </w:r>
      <w:r w:rsidR="00C652B7">
        <w:rPr>
          <w:iCs/>
        </w:rPr>
        <w:t xml:space="preserve"> payment</w:t>
      </w:r>
      <w:r w:rsidR="00613758">
        <w:rPr>
          <w:iCs/>
        </w:rPr>
        <w:t xml:space="preserve">, however, </w:t>
      </w:r>
      <w:r w:rsidR="00FB701B">
        <w:rPr>
          <w:iCs/>
        </w:rPr>
        <w:t>is</w:t>
      </w:r>
      <w:r w:rsidRPr="00613758">
        <w:rPr>
          <w:iCs/>
        </w:rPr>
        <w:t xml:space="preserve"> linked to achiev</w:t>
      </w:r>
      <w:r w:rsidR="008F02DF">
        <w:rPr>
          <w:iCs/>
        </w:rPr>
        <w:t>ing</w:t>
      </w:r>
      <w:r w:rsidRPr="00613758">
        <w:rPr>
          <w:iCs/>
        </w:rPr>
        <w:t xml:space="preserve"> </w:t>
      </w:r>
      <w:r w:rsidR="00613758">
        <w:rPr>
          <w:iCs/>
        </w:rPr>
        <w:t>an agreed number of</w:t>
      </w:r>
      <w:r w:rsidRPr="00613758">
        <w:rPr>
          <w:iCs/>
        </w:rPr>
        <w:t xml:space="preserve"> work placement hours.</w:t>
      </w:r>
      <w:r w:rsidR="007972BD">
        <w:rPr>
          <w:iCs/>
        </w:rPr>
        <w:t xml:space="preserve"> </w:t>
      </w:r>
    </w:p>
    <w:p w14:paraId="5F04F262" w14:textId="06E31627" w:rsidR="00C652B7" w:rsidRPr="00A913B7" w:rsidRDefault="00A311BE" w:rsidP="00C652B7">
      <w:pPr>
        <w:pStyle w:val="ListParagraph"/>
        <w:numPr>
          <w:ilvl w:val="0"/>
          <w:numId w:val="8"/>
        </w:numPr>
        <w:rPr>
          <w:iCs/>
        </w:rPr>
      </w:pPr>
      <w:r>
        <w:rPr>
          <w:iCs/>
        </w:rPr>
        <w:t xml:space="preserve">In the funding agreement, the Training Contract Outcome payment will usually be separately identified in a section entitled ‘Other </w:t>
      </w:r>
      <w:r w:rsidR="00FB701B">
        <w:rPr>
          <w:iCs/>
        </w:rPr>
        <w:t>Activities</w:t>
      </w:r>
      <w:r>
        <w:rPr>
          <w:iCs/>
        </w:rPr>
        <w:t>.  These payments can be claimed as soon as participants are eligible.</w:t>
      </w:r>
    </w:p>
    <w:p w14:paraId="2B56EFA5" w14:textId="20F944C0" w:rsidR="00DE29BB" w:rsidRPr="00613758" w:rsidRDefault="00DE29BB" w:rsidP="00613758">
      <w:pPr>
        <w:pStyle w:val="ListParagraph"/>
        <w:numPr>
          <w:ilvl w:val="0"/>
          <w:numId w:val="8"/>
        </w:numPr>
        <w:rPr>
          <w:iCs/>
        </w:rPr>
      </w:pPr>
      <w:r>
        <w:rPr>
          <w:iCs/>
        </w:rPr>
        <w:t xml:space="preserve">If </w:t>
      </w:r>
      <w:r w:rsidR="00C652B7">
        <w:rPr>
          <w:iCs/>
        </w:rPr>
        <w:t>approved</w:t>
      </w:r>
      <w:r>
        <w:rPr>
          <w:iCs/>
        </w:rPr>
        <w:t xml:space="preserve"> activity occurs beyond the probationary period, an alternative funding model may be negotiated.</w:t>
      </w:r>
      <w:bookmarkStart w:id="0" w:name="_GoBack"/>
      <w:bookmarkEnd w:id="0"/>
    </w:p>
    <w:sectPr w:rsidR="00DE29BB" w:rsidRPr="00613758" w:rsidSect="00B11736">
      <w:headerReference w:type="default" r:id="rId8"/>
      <w:footerReference w:type="default" r:id="rId9"/>
      <w:pgSz w:w="11906" w:h="16838"/>
      <w:pgMar w:top="993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618C9" w14:textId="77777777" w:rsidR="00904A32" w:rsidRDefault="00904A32" w:rsidP="00A17175">
      <w:pPr>
        <w:spacing w:after="0" w:line="240" w:lineRule="auto"/>
      </w:pPr>
      <w:r>
        <w:separator/>
      </w:r>
    </w:p>
  </w:endnote>
  <w:endnote w:type="continuationSeparator" w:id="0">
    <w:p w14:paraId="076986AD" w14:textId="77777777" w:rsidR="00904A32" w:rsidRDefault="00904A32" w:rsidP="00A1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1241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F1A52D" w14:textId="196D82F5" w:rsidR="00613758" w:rsidRDefault="006137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7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A80A18" w14:textId="77777777" w:rsidR="00613758" w:rsidRDefault="00613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A7A89" w14:textId="77777777" w:rsidR="00904A32" w:rsidRDefault="00904A32" w:rsidP="00A17175">
      <w:pPr>
        <w:spacing w:after="0" w:line="240" w:lineRule="auto"/>
      </w:pPr>
      <w:r>
        <w:separator/>
      </w:r>
    </w:p>
  </w:footnote>
  <w:footnote w:type="continuationSeparator" w:id="0">
    <w:p w14:paraId="06913C74" w14:textId="77777777" w:rsidR="00904A32" w:rsidRDefault="00904A32" w:rsidP="00A17175">
      <w:pPr>
        <w:spacing w:after="0" w:line="240" w:lineRule="auto"/>
      </w:pPr>
      <w:r>
        <w:continuationSeparator/>
      </w:r>
    </w:p>
  </w:footnote>
  <w:footnote w:id="1">
    <w:p w14:paraId="7B1E2B87" w14:textId="77777777" w:rsidR="00D87016" w:rsidRPr="00741C08" w:rsidRDefault="00D87016" w:rsidP="00D8701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17175">
        <w:rPr>
          <w:lang w:val="en-US"/>
        </w:rPr>
        <w:t>Apprenticeships is used throughout this document to refer to both apprenticeships and traineeships.</w:t>
      </w:r>
    </w:p>
  </w:footnote>
  <w:footnote w:id="2">
    <w:p w14:paraId="33A5CC1B" w14:textId="0CAE39BB" w:rsidR="00C652B7" w:rsidRPr="00C652B7" w:rsidRDefault="00C652B7" w:rsidP="00C652B7">
      <w:pPr>
        <w:rPr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52B7">
        <w:rPr>
          <w:sz w:val="20"/>
          <w:szCs w:val="20"/>
          <w:lang w:val="en-US"/>
        </w:rPr>
        <w:t xml:space="preserve">Training Contract Outcomes are defined as a </w:t>
      </w:r>
      <w:r w:rsidR="00954993">
        <w:rPr>
          <w:sz w:val="20"/>
          <w:szCs w:val="20"/>
          <w:lang w:val="en-US"/>
        </w:rPr>
        <w:t>t</w:t>
      </w:r>
      <w:r w:rsidRPr="00C652B7">
        <w:rPr>
          <w:sz w:val="20"/>
          <w:szCs w:val="20"/>
          <w:lang w:val="en-US"/>
        </w:rPr>
        <w:t xml:space="preserve">raining </w:t>
      </w:r>
      <w:r w:rsidR="00954993">
        <w:rPr>
          <w:sz w:val="20"/>
          <w:szCs w:val="20"/>
          <w:lang w:val="en-US"/>
        </w:rPr>
        <w:t>c</w:t>
      </w:r>
      <w:r w:rsidRPr="00C652B7">
        <w:rPr>
          <w:sz w:val="20"/>
          <w:szCs w:val="20"/>
          <w:lang w:val="en-US"/>
        </w:rPr>
        <w:t>ontract commencement, following completion of the probationary period.</w:t>
      </w:r>
    </w:p>
    <w:p w14:paraId="641130E4" w14:textId="0BACC8A9" w:rsidR="00C652B7" w:rsidRPr="00C652B7" w:rsidRDefault="00C652B7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91ED5" w14:textId="627C5D52" w:rsidR="00C2616F" w:rsidRDefault="00C261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0" type="#_x0000_t75" style="position:absolute;margin-left:-58.55pt;margin-top:-72.15pt;width:611.75pt;height:865.1pt;z-index:-251658240;mso-position-horizontal-relative:margin;mso-position-vertical-relative:margin" o:allowincell="f">
          <v:imagedata r:id="rId1" o:title="DIS-hea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21D1"/>
    <w:multiLevelType w:val="hybridMultilevel"/>
    <w:tmpl w:val="C0F28E42"/>
    <w:lvl w:ilvl="0" w:tplc="6346C9BC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29C"/>
    <w:multiLevelType w:val="hybridMultilevel"/>
    <w:tmpl w:val="726AE3CC"/>
    <w:lvl w:ilvl="0" w:tplc="6346C9BC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53F15"/>
    <w:multiLevelType w:val="hybridMultilevel"/>
    <w:tmpl w:val="AF9A31F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C3526CE"/>
    <w:multiLevelType w:val="hybridMultilevel"/>
    <w:tmpl w:val="024A1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22CD0"/>
    <w:multiLevelType w:val="hybridMultilevel"/>
    <w:tmpl w:val="D9B47F3C"/>
    <w:lvl w:ilvl="0" w:tplc="6346C9BC">
      <w:start w:val="50"/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3BD6729"/>
    <w:multiLevelType w:val="hybridMultilevel"/>
    <w:tmpl w:val="B964D66A"/>
    <w:lvl w:ilvl="0" w:tplc="6346C9BC">
      <w:start w:val="5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045051"/>
    <w:multiLevelType w:val="hybridMultilevel"/>
    <w:tmpl w:val="EE503366"/>
    <w:lvl w:ilvl="0" w:tplc="6346C9BC">
      <w:start w:val="5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9D3373"/>
    <w:multiLevelType w:val="hybridMultilevel"/>
    <w:tmpl w:val="23C49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DB2"/>
    <w:rsid w:val="00022AA3"/>
    <w:rsid w:val="0008525E"/>
    <w:rsid w:val="000F7BAF"/>
    <w:rsid w:val="001C4BE2"/>
    <w:rsid w:val="002C5835"/>
    <w:rsid w:val="00315B39"/>
    <w:rsid w:val="00335BEF"/>
    <w:rsid w:val="003F5987"/>
    <w:rsid w:val="00424819"/>
    <w:rsid w:val="00443FAB"/>
    <w:rsid w:val="00447FB3"/>
    <w:rsid w:val="00462D44"/>
    <w:rsid w:val="0048722F"/>
    <w:rsid w:val="004D4EEB"/>
    <w:rsid w:val="0054046F"/>
    <w:rsid w:val="00555A0F"/>
    <w:rsid w:val="005E648D"/>
    <w:rsid w:val="00600E35"/>
    <w:rsid w:val="00613758"/>
    <w:rsid w:val="006207BD"/>
    <w:rsid w:val="0063215A"/>
    <w:rsid w:val="006772C9"/>
    <w:rsid w:val="007312A6"/>
    <w:rsid w:val="00741C08"/>
    <w:rsid w:val="007858C2"/>
    <w:rsid w:val="007972BD"/>
    <w:rsid w:val="00832CAC"/>
    <w:rsid w:val="008457B9"/>
    <w:rsid w:val="00887646"/>
    <w:rsid w:val="008D2DB2"/>
    <w:rsid w:val="008F02DF"/>
    <w:rsid w:val="008F3E4A"/>
    <w:rsid w:val="00904A32"/>
    <w:rsid w:val="009354A5"/>
    <w:rsid w:val="00954993"/>
    <w:rsid w:val="009A457E"/>
    <w:rsid w:val="009F4532"/>
    <w:rsid w:val="00A1259E"/>
    <w:rsid w:val="00A12A43"/>
    <w:rsid w:val="00A17175"/>
    <w:rsid w:val="00A311BE"/>
    <w:rsid w:val="00A329A0"/>
    <w:rsid w:val="00A61E1B"/>
    <w:rsid w:val="00A63DF2"/>
    <w:rsid w:val="00A70E0B"/>
    <w:rsid w:val="00A74E7C"/>
    <w:rsid w:val="00A913B7"/>
    <w:rsid w:val="00B11736"/>
    <w:rsid w:val="00B93B80"/>
    <w:rsid w:val="00BF6202"/>
    <w:rsid w:val="00C070A8"/>
    <w:rsid w:val="00C2616F"/>
    <w:rsid w:val="00C652B7"/>
    <w:rsid w:val="00C65565"/>
    <w:rsid w:val="00C724ED"/>
    <w:rsid w:val="00C97247"/>
    <w:rsid w:val="00CD303F"/>
    <w:rsid w:val="00CF7D11"/>
    <w:rsid w:val="00D15627"/>
    <w:rsid w:val="00D22875"/>
    <w:rsid w:val="00D3120B"/>
    <w:rsid w:val="00D87016"/>
    <w:rsid w:val="00DE29BB"/>
    <w:rsid w:val="00E07651"/>
    <w:rsid w:val="00E34DAD"/>
    <w:rsid w:val="00E35327"/>
    <w:rsid w:val="00E5429E"/>
    <w:rsid w:val="00F372FA"/>
    <w:rsid w:val="00F43614"/>
    <w:rsid w:val="00F94AC8"/>
    <w:rsid w:val="00F966E3"/>
    <w:rsid w:val="00FB701B"/>
    <w:rsid w:val="00FE4671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34D3973"/>
  <w15:chartTrackingRefBased/>
  <w15:docId w15:val="{2EF9348F-0DE0-4D43-8D73-FDB57CC9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B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6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4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6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6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67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71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71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71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3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758"/>
  </w:style>
  <w:style w:type="paragraph" w:styleId="Footer">
    <w:name w:val="footer"/>
    <w:basedOn w:val="Normal"/>
    <w:link w:val="FooterChar"/>
    <w:uiPriority w:val="99"/>
    <w:unhideWhenUsed/>
    <w:rsid w:val="00613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82783-8C1F-4547-A2E8-CF2D153B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Davina (DIS)</dc:creator>
  <cp:keywords/>
  <dc:description/>
  <cp:lastModifiedBy>Marie Christodoulou</cp:lastModifiedBy>
  <cp:revision>5</cp:revision>
  <dcterms:created xsi:type="dcterms:W3CDTF">2019-06-25T06:06:00Z</dcterms:created>
  <dcterms:modified xsi:type="dcterms:W3CDTF">2019-07-03T01:57:00Z</dcterms:modified>
</cp:coreProperties>
</file>